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3E64" w14:textId="40387F75" w:rsidR="00214696" w:rsidRDefault="00BE5D36" w:rsidP="00214696">
      <w:pPr>
        <w:ind w:right="-270"/>
        <w:jc w:val="center"/>
        <w:rPr>
          <w:b/>
          <w:sz w:val="28"/>
          <w:szCs w:val="28"/>
        </w:rPr>
      </w:pPr>
      <w:bookmarkStart w:id="0" w:name="_Hlk105165521"/>
      <w:r>
        <w:rPr>
          <w:b/>
          <w:sz w:val="28"/>
          <w:szCs w:val="28"/>
        </w:rPr>
        <w:t xml:space="preserve">Compilation of Federal CMS </w:t>
      </w:r>
      <w:bookmarkStart w:id="1" w:name="_Hlk518476949"/>
      <w:r>
        <w:rPr>
          <w:b/>
          <w:sz w:val="28"/>
          <w:szCs w:val="28"/>
        </w:rPr>
        <w:t>(Centers for Medicare and Medicaid Services)</w:t>
      </w:r>
      <w:bookmarkEnd w:id="1"/>
    </w:p>
    <w:p w14:paraId="0DD91031" w14:textId="527E9261" w:rsidR="00214696" w:rsidRDefault="00BE5D36" w:rsidP="00214696">
      <w:pPr>
        <w:ind w:right="-2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Star Ratings of Nursing Homes</w:t>
      </w:r>
    </w:p>
    <w:p w14:paraId="23E3C6CD" w14:textId="77777777" w:rsidR="00E37242" w:rsidRDefault="00E37242" w:rsidP="00214696">
      <w:pPr>
        <w:ind w:right="-270"/>
        <w:jc w:val="center"/>
        <w:rPr>
          <w:b/>
          <w:sz w:val="28"/>
          <w:szCs w:val="28"/>
        </w:rPr>
      </w:pPr>
    </w:p>
    <w:p w14:paraId="2ECFDB33" w14:textId="51EC61A3" w:rsidR="00BE5D36" w:rsidRDefault="00CE30FF" w:rsidP="00214696">
      <w:pPr>
        <w:ind w:right="-2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Rochester &amp; </w:t>
      </w:r>
      <w:r w:rsidR="00BE5D36">
        <w:rPr>
          <w:b/>
          <w:sz w:val="28"/>
          <w:szCs w:val="28"/>
        </w:rPr>
        <w:t>Monroe County</w:t>
      </w:r>
      <w:r w:rsidR="00AB6F0B">
        <w:rPr>
          <w:b/>
          <w:sz w:val="28"/>
          <w:szCs w:val="28"/>
        </w:rPr>
        <w:t>,</w:t>
      </w:r>
      <w:r w:rsidR="00BE5D36">
        <w:rPr>
          <w:b/>
          <w:sz w:val="28"/>
          <w:szCs w:val="28"/>
        </w:rPr>
        <w:t xml:space="preserve"> N</w:t>
      </w:r>
      <w:bookmarkEnd w:id="0"/>
      <w:r w:rsidR="00BE5D36">
        <w:rPr>
          <w:b/>
          <w:sz w:val="28"/>
          <w:szCs w:val="28"/>
        </w:rPr>
        <w:t>Y</w:t>
      </w:r>
      <w:r w:rsidR="00214696">
        <w:rPr>
          <w:b/>
          <w:sz w:val="28"/>
          <w:szCs w:val="28"/>
        </w:rPr>
        <w:t xml:space="preserve"> - </w:t>
      </w:r>
      <w:r w:rsidR="004859BD">
        <w:rPr>
          <w:b/>
          <w:sz w:val="28"/>
          <w:szCs w:val="28"/>
        </w:rPr>
        <w:t>MAY</w:t>
      </w:r>
      <w:r w:rsidR="00214696">
        <w:rPr>
          <w:b/>
          <w:sz w:val="28"/>
          <w:szCs w:val="28"/>
        </w:rPr>
        <w:t xml:space="preserve"> 19, </w:t>
      </w:r>
      <w:proofErr w:type="gramStart"/>
      <w:r w:rsidR="00214696">
        <w:rPr>
          <w:b/>
          <w:sz w:val="28"/>
          <w:szCs w:val="28"/>
        </w:rPr>
        <w:t>2025</w:t>
      </w:r>
      <w:proofErr w:type="gramEnd"/>
      <w:r w:rsidR="00214696">
        <w:rPr>
          <w:b/>
          <w:sz w:val="28"/>
          <w:szCs w:val="28"/>
        </w:rPr>
        <w:t xml:space="preserve"> Update</w:t>
      </w:r>
      <w:r w:rsidR="003C025F">
        <w:rPr>
          <w:b/>
          <w:sz w:val="28"/>
          <w:szCs w:val="28"/>
        </w:rPr>
        <w:t xml:space="preserve"> </w:t>
      </w:r>
      <w:r w:rsidR="00214696">
        <w:rPr>
          <w:b/>
          <w:sz w:val="28"/>
          <w:szCs w:val="28"/>
        </w:rPr>
        <w:t>*</w:t>
      </w:r>
    </w:p>
    <w:p w14:paraId="079C2081" w14:textId="4E7671DD" w:rsidR="001D0414" w:rsidRPr="000A00C1" w:rsidRDefault="00BE5D36" w:rsidP="00214696">
      <w:pPr>
        <w:tabs>
          <w:tab w:val="left" w:pos="-600"/>
        </w:tabs>
        <w:ind w:right="-540"/>
        <w:rPr>
          <w:b/>
          <w:sz w:val="20"/>
          <w:szCs w:val="20"/>
        </w:rPr>
      </w:pPr>
      <w:r w:rsidRPr="000A00C1">
        <w:rPr>
          <w:b/>
          <w:sz w:val="20"/>
          <w:szCs w:val="20"/>
        </w:rPr>
        <w:t xml:space="preserve">CMS Ratings:1=Much Below Average; 2=Below Average; 3=Average; 4=Above Average; 5=Much </w:t>
      </w:r>
      <w:r w:rsidR="00214696">
        <w:rPr>
          <w:b/>
          <w:sz w:val="20"/>
          <w:szCs w:val="20"/>
        </w:rPr>
        <w:t>A</w:t>
      </w:r>
      <w:r w:rsidRPr="000A00C1">
        <w:rPr>
          <w:b/>
          <w:sz w:val="20"/>
          <w:szCs w:val="20"/>
        </w:rPr>
        <w:t xml:space="preserve">bove </w:t>
      </w:r>
      <w:r w:rsidR="00214696">
        <w:rPr>
          <w:b/>
          <w:sz w:val="20"/>
          <w:szCs w:val="20"/>
        </w:rPr>
        <w:t>A</w:t>
      </w:r>
      <w:r w:rsidRPr="000A00C1">
        <w:rPr>
          <w:b/>
          <w:sz w:val="20"/>
          <w:szCs w:val="20"/>
        </w:rPr>
        <w:t>verage</w:t>
      </w:r>
    </w:p>
    <w:p w14:paraId="194F526A" w14:textId="77777777" w:rsidR="00BE5D36" w:rsidRPr="0064083E" w:rsidRDefault="00BE5D36" w:rsidP="00BE5D36">
      <w:pPr>
        <w:rPr>
          <w:sz w:val="16"/>
          <w:szCs w:val="16"/>
        </w:rPr>
      </w:pPr>
    </w:p>
    <w:tbl>
      <w:tblPr>
        <w:tblW w:w="10856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4395"/>
        <w:gridCol w:w="1218"/>
        <w:gridCol w:w="1218"/>
        <w:gridCol w:w="1217"/>
        <w:gridCol w:w="1218"/>
        <w:gridCol w:w="1354"/>
        <w:gridCol w:w="236"/>
      </w:tblGrid>
      <w:tr w:rsidR="00136254" w:rsidRPr="00C73CDE" w14:paraId="45DCA0C6" w14:textId="77777777" w:rsidTr="001B6F54">
        <w:trPr>
          <w:gridAfter w:val="1"/>
          <w:wAfter w:w="236" w:type="dxa"/>
          <w:trHeight w:val="458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2FDD4" w14:textId="77777777" w:rsidR="00136254" w:rsidRPr="00C73CDE" w:rsidRDefault="00136254" w:rsidP="00FC303F">
            <w:pPr>
              <w:ind w:left="59" w:hanging="59"/>
              <w:jc w:val="center"/>
              <w:rPr>
                <w:b/>
                <w:bCs/>
              </w:rPr>
            </w:pPr>
            <w:bookmarkStart w:id="2" w:name="RANGE!A1"/>
            <w:bookmarkStart w:id="3" w:name="_Hlk188538977" w:colFirst="1" w:colLast="5"/>
            <w:bookmarkStart w:id="4" w:name="_Hlk64122891"/>
            <w:r w:rsidRPr="00C73CDE">
              <w:rPr>
                <w:b/>
                <w:bCs/>
              </w:rPr>
              <w:t>Nursing Home</w:t>
            </w:r>
            <w:bookmarkEnd w:id="2"/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077D2" w14:textId="77777777" w:rsidR="00136254" w:rsidRPr="00C73CDE" w:rsidRDefault="00136254" w:rsidP="00A8286C">
            <w:pPr>
              <w:jc w:val="center"/>
              <w:rPr>
                <w:b/>
                <w:bCs/>
                <w:sz w:val="20"/>
                <w:szCs w:val="20"/>
              </w:rPr>
            </w:pPr>
            <w:r w:rsidRPr="00C73CDE">
              <w:rPr>
                <w:b/>
                <w:bCs/>
                <w:sz w:val="20"/>
                <w:szCs w:val="20"/>
              </w:rPr>
              <w:t>Overall Rating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189E9" w14:textId="77777777" w:rsidR="00136254" w:rsidRPr="005E33AE" w:rsidRDefault="00136254" w:rsidP="00A8286C">
            <w:pPr>
              <w:jc w:val="center"/>
              <w:rPr>
                <w:b/>
                <w:bCs/>
                <w:sz w:val="18"/>
                <w:szCs w:val="18"/>
              </w:rPr>
            </w:pPr>
            <w:r w:rsidRPr="005E33AE">
              <w:rPr>
                <w:b/>
                <w:bCs/>
                <w:sz w:val="18"/>
                <w:szCs w:val="18"/>
              </w:rPr>
              <w:t>Health Inspections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46238" w14:textId="64EF7871" w:rsidR="00136254" w:rsidRPr="00C73CDE" w:rsidRDefault="00136254" w:rsidP="00A8286C">
            <w:pPr>
              <w:jc w:val="center"/>
              <w:rPr>
                <w:b/>
                <w:bCs/>
                <w:sz w:val="18"/>
                <w:szCs w:val="18"/>
              </w:rPr>
            </w:pPr>
            <w:r w:rsidRPr="00C73CDE">
              <w:rPr>
                <w:b/>
                <w:bCs/>
                <w:sz w:val="18"/>
                <w:szCs w:val="18"/>
              </w:rPr>
              <w:t>Staffing</w:t>
            </w:r>
            <w:r w:rsidR="003C025F">
              <w:rPr>
                <w:b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8EF7D" w14:textId="77777777" w:rsidR="00136254" w:rsidRPr="00C73CDE" w:rsidRDefault="00136254" w:rsidP="00A8286C">
            <w:pPr>
              <w:jc w:val="center"/>
              <w:rPr>
                <w:b/>
                <w:bCs/>
                <w:sz w:val="20"/>
                <w:szCs w:val="20"/>
              </w:rPr>
            </w:pPr>
            <w:r w:rsidRPr="00C73CDE">
              <w:rPr>
                <w:b/>
                <w:bCs/>
                <w:sz w:val="20"/>
                <w:szCs w:val="20"/>
              </w:rPr>
              <w:t>Quality Measures</w:t>
            </w:r>
          </w:p>
        </w:tc>
        <w:tc>
          <w:tcPr>
            <w:tcW w:w="1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84C86" w14:textId="77777777" w:rsidR="00136254" w:rsidRPr="00577561" w:rsidRDefault="00136254" w:rsidP="00A8286C">
            <w:pPr>
              <w:jc w:val="center"/>
              <w:rPr>
                <w:b/>
                <w:bCs/>
                <w:sz w:val="20"/>
                <w:szCs w:val="20"/>
              </w:rPr>
            </w:pPr>
            <w:r w:rsidRPr="00577561">
              <w:rPr>
                <w:b/>
                <w:bCs/>
                <w:sz w:val="20"/>
                <w:szCs w:val="20"/>
              </w:rPr>
              <w:t>Location</w:t>
            </w:r>
          </w:p>
        </w:tc>
      </w:tr>
      <w:tr w:rsidR="00136254" w:rsidRPr="00C73CDE" w14:paraId="79A1B418" w14:textId="77777777" w:rsidTr="001B6F54">
        <w:trPr>
          <w:trHeight w:val="340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09B94" w14:textId="77777777" w:rsidR="00136254" w:rsidRPr="00C73CDE" w:rsidRDefault="00136254" w:rsidP="00A8286C">
            <w:pPr>
              <w:rPr>
                <w:b/>
                <w:bCs/>
              </w:rPr>
            </w:pPr>
          </w:p>
        </w:tc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D59D3" w14:textId="77777777" w:rsidR="00136254" w:rsidRPr="00C73CDE" w:rsidRDefault="00136254" w:rsidP="00A828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BE46C" w14:textId="77777777" w:rsidR="00136254" w:rsidRPr="00C73CDE" w:rsidRDefault="00136254" w:rsidP="00A828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6C4E0" w14:textId="77777777" w:rsidR="00136254" w:rsidRPr="00C73CDE" w:rsidRDefault="00136254" w:rsidP="00A8286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B7D58" w14:textId="77777777" w:rsidR="00136254" w:rsidRPr="00C73CDE" w:rsidRDefault="00136254" w:rsidP="00A828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48D1B" w14:textId="77777777" w:rsidR="00136254" w:rsidRPr="00C73CDE" w:rsidRDefault="00136254" w:rsidP="00A8286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337A" w14:textId="77777777" w:rsidR="00136254" w:rsidRPr="00C73CDE" w:rsidRDefault="00136254" w:rsidP="00A8286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6254" w:rsidRPr="00C73CDE" w14:paraId="7EACCDB0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708AF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Jewish Home of Rochester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5071B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E4F01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9BC0B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FD44D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073CD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Brighton</w:t>
            </w:r>
          </w:p>
        </w:tc>
        <w:tc>
          <w:tcPr>
            <w:tcW w:w="236" w:type="dxa"/>
            <w:vAlign w:val="center"/>
            <w:hideMark/>
          </w:tcPr>
          <w:p w14:paraId="2BD7538B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4C9FF022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BE31B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Penfield Place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45A8D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2A199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E4445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DF52B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32DE4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Penfield</w:t>
            </w:r>
          </w:p>
        </w:tc>
        <w:tc>
          <w:tcPr>
            <w:tcW w:w="236" w:type="dxa"/>
            <w:vAlign w:val="center"/>
            <w:hideMark/>
          </w:tcPr>
          <w:p w14:paraId="1CB4514E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0A081EF0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C172D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Maplewood Nursing Home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1F67B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9C46B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120C0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4489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C0CFE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Webster</w:t>
            </w:r>
          </w:p>
        </w:tc>
        <w:tc>
          <w:tcPr>
            <w:tcW w:w="236" w:type="dxa"/>
            <w:vAlign w:val="center"/>
            <w:hideMark/>
          </w:tcPr>
          <w:p w14:paraId="2A5B4238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36D7F6BB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78053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Woodside Manor Nursing Home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2F79F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27830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992CA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48EC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72AD2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Brighton</w:t>
            </w:r>
          </w:p>
        </w:tc>
        <w:tc>
          <w:tcPr>
            <w:tcW w:w="236" w:type="dxa"/>
            <w:vAlign w:val="center"/>
            <w:hideMark/>
          </w:tcPr>
          <w:p w14:paraId="0822B720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7E333A47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12EF1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The Hurlbut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28036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D54FB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21851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BD470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18D94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Henrietta</w:t>
            </w:r>
          </w:p>
        </w:tc>
        <w:tc>
          <w:tcPr>
            <w:tcW w:w="236" w:type="dxa"/>
            <w:vAlign w:val="center"/>
            <w:hideMark/>
          </w:tcPr>
          <w:p w14:paraId="61A125C7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2BD4B652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FA0B8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St. Ann’s Community at Cherry Ridge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56E1D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E1C02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571E3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E04A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5405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Webster</w:t>
            </w:r>
          </w:p>
        </w:tc>
        <w:tc>
          <w:tcPr>
            <w:tcW w:w="236" w:type="dxa"/>
            <w:vAlign w:val="center"/>
            <w:hideMark/>
          </w:tcPr>
          <w:p w14:paraId="54571530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2E764DFD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32023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Park Ridge Nursing Home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4A8F7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30C28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6411C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C9C33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11FE0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Greece</w:t>
            </w:r>
          </w:p>
        </w:tc>
        <w:tc>
          <w:tcPr>
            <w:tcW w:w="236" w:type="dxa"/>
            <w:vAlign w:val="center"/>
            <w:hideMark/>
          </w:tcPr>
          <w:p w14:paraId="6040BBED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5A56F4B4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AA30D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Hamilton Manor Nursing Home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DEFC8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49F21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975CE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17E2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624D9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Greece</w:t>
            </w:r>
          </w:p>
        </w:tc>
        <w:tc>
          <w:tcPr>
            <w:tcW w:w="236" w:type="dxa"/>
            <w:vAlign w:val="center"/>
            <w:hideMark/>
          </w:tcPr>
          <w:p w14:paraId="31B07A77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6F51EDFE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6968C" w14:textId="77777777" w:rsidR="00136254" w:rsidRPr="00577561" w:rsidRDefault="00136254" w:rsidP="00A8286C">
            <w:pPr>
              <w:rPr>
                <w:color w:val="auto"/>
                <w:sz w:val="20"/>
                <w:szCs w:val="20"/>
              </w:rPr>
            </w:pPr>
            <w:r w:rsidRPr="00577561">
              <w:rPr>
                <w:color w:val="auto"/>
                <w:sz w:val="20"/>
                <w:szCs w:val="20"/>
                <w:lang w:val="es-ES"/>
              </w:rPr>
              <w:t>Aaron Manor Rehabilitation &amp; Nursing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A6E0D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C9F7F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F9C81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40B1C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AE998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Fairport</w:t>
            </w:r>
          </w:p>
        </w:tc>
        <w:tc>
          <w:tcPr>
            <w:tcW w:w="236" w:type="dxa"/>
            <w:vAlign w:val="center"/>
            <w:hideMark/>
          </w:tcPr>
          <w:p w14:paraId="26503D71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4F8767D7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4103A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Latta Road Nursing Home West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F4ABA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28A40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E9A6F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75E6E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E6E18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Greece</w:t>
            </w:r>
          </w:p>
        </w:tc>
        <w:tc>
          <w:tcPr>
            <w:tcW w:w="236" w:type="dxa"/>
            <w:vAlign w:val="center"/>
            <w:hideMark/>
          </w:tcPr>
          <w:p w14:paraId="7B3230CF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6A2B3A02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779A6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Edna Tina Wilson Living Center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2A746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81DB1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7F37A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489E7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B430E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Greece</w:t>
            </w:r>
          </w:p>
        </w:tc>
        <w:tc>
          <w:tcPr>
            <w:tcW w:w="236" w:type="dxa"/>
            <w:vAlign w:val="center"/>
            <w:hideMark/>
          </w:tcPr>
          <w:p w14:paraId="47282549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27931372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4C6D" w14:textId="77777777" w:rsidR="00136254" w:rsidRPr="00577561" w:rsidRDefault="00136254" w:rsidP="00A8286C">
            <w:pPr>
              <w:rPr>
                <w:color w:val="auto"/>
                <w:sz w:val="20"/>
                <w:szCs w:val="20"/>
              </w:rPr>
            </w:pPr>
            <w:r w:rsidRPr="00577561">
              <w:rPr>
                <w:color w:val="auto"/>
                <w:sz w:val="20"/>
                <w:szCs w:val="20"/>
              </w:rPr>
              <w:t>Wedgewood Nursing and Rehab</w:t>
            </w:r>
            <w:r w:rsidRPr="00577561">
              <w:rPr>
                <w:sz w:val="20"/>
                <w:szCs w:val="20"/>
              </w:rPr>
              <w:t>ilitation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9A213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BA0C0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2A450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6849B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9E562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Spencerport</w:t>
            </w:r>
          </w:p>
        </w:tc>
        <w:tc>
          <w:tcPr>
            <w:tcW w:w="236" w:type="dxa"/>
            <w:vAlign w:val="center"/>
            <w:hideMark/>
          </w:tcPr>
          <w:p w14:paraId="1051A77D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3D1E4172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DB642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Elderwood of Lakeside at Brockport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5E482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C2398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E6C49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D2633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F7222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Brockport</w:t>
            </w:r>
          </w:p>
        </w:tc>
        <w:tc>
          <w:tcPr>
            <w:tcW w:w="236" w:type="dxa"/>
            <w:vAlign w:val="center"/>
            <w:hideMark/>
          </w:tcPr>
          <w:p w14:paraId="133A42B8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0A9328BA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7985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The Brightonian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FCB9E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3403E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46E2D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3A483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B32A5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Brighton</w:t>
            </w:r>
          </w:p>
        </w:tc>
        <w:tc>
          <w:tcPr>
            <w:tcW w:w="236" w:type="dxa"/>
            <w:vAlign w:val="center"/>
            <w:hideMark/>
          </w:tcPr>
          <w:p w14:paraId="6432C3EC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3D933E51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E21F0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Episcopal Church Home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8E122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1B33C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5F57D" w14:textId="492859FE" w:rsidR="00136254" w:rsidRPr="00577561" w:rsidRDefault="003648DA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79D72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FDA82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Rochester</w:t>
            </w:r>
          </w:p>
        </w:tc>
        <w:tc>
          <w:tcPr>
            <w:tcW w:w="236" w:type="dxa"/>
            <w:vAlign w:val="center"/>
            <w:hideMark/>
          </w:tcPr>
          <w:p w14:paraId="425E7AA1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600DA093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A7C5F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The Highlands at Brighton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22545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CC354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E1959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F4F23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BC974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Brighton</w:t>
            </w:r>
          </w:p>
        </w:tc>
        <w:tc>
          <w:tcPr>
            <w:tcW w:w="236" w:type="dxa"/>
            <w:vAlign w:val="center"/>
            <w:hideMark/>
          </w:tcPr>
          <w:p w14:paraId="286C5BE1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0A11CFD5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61F71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St. Ann’s Community (Portland Avenue)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0E515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FE7E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FF387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E6507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66EFE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Irondequoit</w:t>
            </w:r>
          </w:p>
        </w:tc>
        <w:tc>
          <w:tcPr>
            <w:tcW w:w="236" w:type="dxa"/>
            <w:vAlign w:val="center"/>
            <w:hideMark/>
          </w:tcPr>
          <w:p w14:paraId="2C0D01FB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69E9E784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EC317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Monroe Community Hospital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F49B6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B845D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1B4EF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703CD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9942F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Rochester</w:t>
            </w:r>
          </w:p>
        </w:tc>
        <w:tc>
          <w:tcPr>
            <w:tcW w:w="236" w:type="dxa"/>
            <w:vAlign w:val="center"/>
            <w:hideMark/>
          </w:tcPr>
          <w:p w14:paraId="3B669834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72A0A0EA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3B0FB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The Friendly Home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97AF5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EC074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9E580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644A7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49CBF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Brighton</w:t>
            </w:r>
          </w:p>
        </w:tc>
        <w:tc>
          <w:tcPr>
            <w:tcW w:w="236" w:type="dxa"/>
            <w:vAlign w:val="center"/>
            <w:hideMark/>
          </w:tcPr>
          <w:p w14:paraId="3E8E42AC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11355925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A2872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The Brook at High Falls Nursing &amp; Rehab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E6593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B68CE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08DB7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96804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846AF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Rochester</w:t>
            </w:r>
          </w:p>
        </w:tc>
        <w:tc>
          <w:tcPr>
            <w:tcW w:w="236" w:type="dxa"/>
            <w:vAlign w:val="center"/>
            <w:hideMark/>
          </w:tcPr>
          <w:p w14:paraId="236C6A43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64F53523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99AE3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Kirkhaven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7C403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7A739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6DA32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D9B9C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79BA5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Rochester</w:t>
            </w:r>
          </w:p>
        </w:tc>
        <w:tc>
          <w:tcPr>
            <w:tcW w:w="236" w:type="dxa"/>
            <w:vAlign w:val="center"/>
            <w:hideMark/>
          </w:tcPr>
          <w:p w14:paraId="34CAD90A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1CBD221A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47E1F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Unity Living Center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72F25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88E02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CCE66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F9A4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3F993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Rochester</w:t>
            </w:r>
          </w:p>
        </w:tc>
        <w:tc>
          <w:tcPr>
            <w:tcW w:w="236" w:type="dxa"/>
            <w:vAlign w:val="center"/>
            <w:hideMark/>
          </w:tcPr>
          <w:p w14:paraId="72EA2C94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5A4959D6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20E7F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Highlands Living Center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2E9D0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0BBEF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6A4E6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10D08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DC0F4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Pittsford</w:t>
            </w:r>
          </w:p>
        </w:tc>
        <w:tc>
          <w:tcPr>
            <w:tcW w:w="236" w:type="dxa"/>
            <w:vAlign w:val="center"/>
            <w:hideMark/>
          </w:tcPr>
          <w:p w14:paraId="79700A55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47A58999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8436E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Fairport Baptist Homes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FA0E4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BFAB5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DCE36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CF35E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1977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Fairport</w:t>
            </w:r>
          </w:p>
        </w:tc>
        <w:tc>
          <w:tcPr>
            <w:tcW w:w="236" w:type="dxa"/>
            <w:vAlign w:val="center"/>
            <w:hideMark/>
          </w:tcPr>
          <w:p w14:paraId="429ACC89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59FB9D26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C86A7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Wesley Gardens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686DD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0B016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03A18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19F87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20524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Rochester</w:t>
            </w:r>
          </w:p>
        </w:tc>
        <w:tc>
          <w:tcPr>
            <w:tcW w:w="236" w:type="dxa"/>
            <w:vAlign w:val="center"/>
            <w:hideMark/>
          </w:tcPr>
          <w:p w14:paraId="6E5BFCBC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67318290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8A787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Roch. Community Nursing and Rehab Center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FAF06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A4FDE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6FDEC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80D64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69A2E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Rochester</w:t>
            </w:r>
          </w:p>
        </w:tc>
        <w:tc>
          <w:tcPr>
            <w:tcW w:w="236" w:type="dxa"/>
            <w:vAlign w:val="center"/>
            <w:hideMark/>
          </w:tcPr>
          <w:p w14:paraId="1A55C349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650A8D31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AAD3E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St. John’s Health Care (Highland Ave.)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5290C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47F36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109E5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5506A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AAB28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Rochester</w:t>
            </w:r>
          </w:p>
        </w:tc>
        <w:tc>
          <w:tcPr>
            <w:tcW w:w="236" w:type="dxa"/>
            <w:vAlign w:val="center"/>
            <w:hideMark/>
          </w:tcPr>
          <w:p w14:paraId="16E4DD4D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16BE248E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76FCF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The Pearl Nursing Center (was New Roc)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93E54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8E618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00ECA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4670D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22760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Rochester</w:t>
            </w:r>
          </w:p>
        </w:tc>
        <w:tc>
          <w:tcPr>
            <w:tcW w:w="236" w:type="dxa"/>
            <w:vAlign w:val="center"/>
            <w:hideMark/>
          </w:tcPr>
          <w:p w14:paraId="6B4D7CEB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74A65891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D25B1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Rochester Center for Rehab and Nursing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BC36E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51B6B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9A427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B1C32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5948F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Rochester</w:t>
            </w:r>
          </w:p>
        </w:tc>
        <w:tc>
          <w:tcPr>
            <w:tcW w:w="236" w:type="dxa"/>
            <w:vAlign w:val="center"/>
            <w:hideMark/>
          </w:tcPr>
          <w:p w14:paraId="5AA12F74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1C259EB7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0B44E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Latta Road Nursing Home East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1D11B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FB834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A49A1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77BCF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57144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Greece</w:t>
            </w:r>
          </w:p>
        </w:tc>
        <w:tc>
          <w:tcPr>
            <w:tcW w:w="236" w:type="dxa"/>
            <w:vAlign w:val="center"/>
            <w:hideMark/>
          </w:tcPr>
          <w:p w14:paraId="071718F8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2534D8C9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683EE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Crest Manor Living Center &amp; Rehab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03D2B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77030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7CBEA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687D4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5B638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Fairport</w:t>
            </w:r>
          </w:p>
        </w:tc>
        <w:tc>
          <w:tcPr>
            <w:tcW w:w="236" w:type="dxa"/>
            <w:vAlign w:val="center"/>
            <w:hideMark/>
          </w:tcPr>
          <w:p w14:paraId="20EC52E5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6254" w:rsidRPr="00C73CDE" w14:paraId="38579E91" w14:textId="77777777" w:rsidTr="001B6F54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D5655" w14:textId="77777777" w:rsidR="00136254" w:rsidRPr="00577561" w:rsidRDefault="00136254" w:rsidP="00A8286C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Waterview Heights (</w:t>
            </w:r>
            <w:r w:rsidRPr="00577561">
              <w:rPr>
                <w:b/>
                <w:bCs/>
                <w:sz w:val="20"/>
                <w:szCs w:val="20"/>
              </w:rPr>
              <w:t>not rated)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5E760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bCs/>
                <w:sz w:val="20"/>
                <w:szCs w:val="20"/>
              </w:rPr>
              <w:t>Special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A2850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Focus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9681D" w14:textId="77777777" w:rsidR="00136254" w:rsidRPr="00577561" w:rsidRDefault="00136254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Facility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C25AF" w14:textId="2EA8C2B5" w:rsidR="00136254" w:rsidRPr="00577561" w:rsidRDefault="00FD20B0" w:rsidP="00A8286C">
            <w:pPr>
              <w:jc w:val="center"/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(SFF)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7BDF" w14:textId="77777777" w:rsidR="00136254" w:rsidRPr="00577561" w:rsidRDefault="00136254" w:rsidP="00FC303F">
            <w:pPr>
              <w:rPr>
                <w:sz w:val="20"/>
                <w:szCs w:val="20"/>
              </w:rPr>
            </w:pPr>
            <w:r w:rsidRPr="00577561">
              <w:rPr>
                <w:sz w:val="20"/>
                <w:szCs w:val="20"/>
              </w:rPr>
              <w:t>Rochester</w:t>
            </w:r>
          </w:p>
        </w:tc>
        <w:tc>
          <w:tcPr>
            <w:tcW w:w="236" w:type="dxa"/>
            <w:vAlign w:val="center"/>
            <w:hideMark/>
          </w:tcPr>
          <w:p w14:paraId="00D2F6ED" w14:textId="77777777" w:rsidR="00136254" w:rsidRPr="00C73CDE" w:rsidRDefault="00136254" w:rsidP="00A82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bookmarkEnd w:id="3"/>
    <w:bookmarkEnd w:id="4"/>
    <w:p w14:paraId="35775D3D" w14:textId="77777777" w:rsidR="003C025F" w:rsidRDefault="00BA558E" w:rsidP="00BA558E">
      <w:pPr>
        <w:tabs>
          <w:tab w:val="left" w:pos="-600"/>
        </w:tabs>
        <w:ind w:right="180"/>
        <w:jc w:val="both"/>
        <w:rPr>
          <w:b/>
          <w:bCs/>
          <w:sz w:val="20"/>
          <w:szCs w:val="20"/>
        </w:rPr>
      </w:pPr>
      <w:r w:rsidRPr="00BA558E">
        <w:rPr>
          <w:b/>
          <w:bCs/>
          <w:sz w:val="20"/>
          <w:szCs w:val="20"/>
        </w:rPr>
        <w:t xml:space="preserve">* </w:t>
      </w:r>
      <w:r w:rsidR="00B237C5" w:rsidRPr="00BA558E">
        <w:rPr>
          <w:b/>
          <w:bCs/>
          <w:sz w:val="20"/>
          <w:szCs w:val="20"/>
        </w:rPr>
        <w:t xml:space="preserve">The Elder Justice </w:t>
      </w:r>
      <w:r w:rsidR="001E40BC" w:rsidRPr="00BA558E">
        <w:rPr>
          <w:b/>
          <w:bCs/>
          <w:sz w:val="20"/>
          <w:szCs w:val="20"/>
        </w:rPr>
        <w:t>C</w:t>
      </w:r>
      <w:r w:rsidR="00B237C5" w:rsidRPr="00BA558E">
        <w:rPr>
          <w:b/>
          <w:bCs/>
          <w:sz w:val="20"/>
          <w:szCs w:val="20"/>
        </w:rPr>
        <w:t>ommittee of Metro</w:t>
      </w:r>
      <w:r w:rsidR="006D5CBF" w:rsidRPr="00BA558E">
        <w:rPr>
          <w:b/>
          <w:bCs/>
          <w:sz w:val="20"/>
          <w:szCs w:val="20"/>
        </w:rPr>
        <w:t xml:space="preserve"> </w:t>
      </w:r>
      <w:r w:rsidR="00127A53" w:rsidRPr="00BA558E">
        <w:rPr>
          <w:b/>
          <w:bCs/>
          <w:sz w:val="20"/>
          <w:szCs w:val="20"/>
        </w:rPr>
        <w:t xml:space="preserve">Justice compiled this table </w:t>
      </w:r>
      <w:r w:rsidR="00127A53" w:rsidRPr="00BA558E">
        <w:rPr>
          <w:b/>
          <w:bCs/>
          <w:color w:val="auto"/>
          <w:sz w:val="20"/>
          <w:szCs w:val="20"/>
        </w:rPr>
        <w:t xml:space="preserve">from CMS Nursing Home Care-Compare’s data on </w:t>
      </w:r>
      <w:r w:rsidR="00E92F34" w:rsidRPr="00BA558E">
        <w:rPr>
          <w:b/>
          <w:bCs/>
          <w:color w:val="auto"/>
          <w:sz w:val="20"/>
          <w:szCs w:val="20"/>
        </w:rPr>
        <w:t>May 1</w:t>
      </w:r>
      <w:r w:rsidR="003F66E3" w:rsidRPr="00BA558E">
        <w:rPr>
          <w:b/>
          <w:bCs/>
          <w:color w:val="auto"/>
          <w:sz w:val="20"/>
          <w:szCs w:val="20"/>
        </w:rPr>
        <w:t>9</w:t>
      </w:r>
      <w:r w:rsidR="00E92F34" w:rsidRPr="00BA558E">
        <w:rPr>
          <w:b/>
          <w:bCs/>
          <w:color w:val="auto"/>
          <w:sz w:val="20"/>
          <w:szCs w:val="20"/>
        </w:rPr>
        <w:t xml:space="preserve">, 2025. </w:t>
      </w:r>
      <w:r w:rsidR="00127A53" w:rsidRPr="00BA558E">
        <w:rPr>
          <w:b/>
          <w:bCs/>
          <w:color w:val="auto"/>
          <w:sz w:val="20"/>
          <w:szCs w:val="20"/>
        </w:rPr>
        <w:t xml:space="preserve"> </w:t>
      </w:r>
      <w:r w:rsidR="00127A53" w:rsidRPr="00BA558E">
        <w:rPr>
          <w:b/>
          <w:bCs/>
          <w:sz w:val="20"/>
          <w:szCs w:val="20"/>
        </w:rPr>
        <w:t>Neither the Elder Justice Committee nor Metro Justice assumes responsibility for the accuracy of the information included in this table, nor for updating the table at any specific intervals</w:t>
      </w:r>
      <w:r w:rsidRPr="00BA558E">
        <w:rPr>
          <w:b/>
          <w:bCs/>
          <w:sz w:val="20"/>
          <w:szCs w:val="20"/>
        </w:rPr>
        <w:t xml:space="preserve">. </w:t>
      </w:r>
    </w:p>
    <w:p w14:paraId="321F482F" w14:textId="77777777" w:rsidR="003C025F" w:rsidRDefault="003C025F" w:rsidP="00BA558E">
      <w:pPr>
        <w:tabs>
          <w:tab w:val="left" w:pos="-600"/>
        </w:tabs>
        <w:ind w:right="180"/>
        <w:jc w:val="both"/>
        <w:rPr>
          <w:b/>
          <w:bCs/>
          <w:sz w:val="20"/>
          <w:szCs w:val="20"/>
        </w:rPr>
      </w:pPr>
    </w:p>
    <w:p w14:paraId="11FF17AD" w14:textId="3F40C055" w:rsidR="00BA558E" w:rsidRDefault="00BA558E" w:rsidP="00BA558E">
      <w:pPr>
        <w:tabs>
          <w:tab w:val="left" w:pos="-600"/>
        </w:tabs>
        <w:ind w:right="180"/>
        <w:jc w:val="both"/>
        <w:rPr>
          <w:rStyle w:val="Hyperlink"/>
          <w:rFonts w:eastAsiaTheme="majorEastAsia"/>
          <w:b w:val="0"/>
          <w:bCs/>
          <w:sz w:val="20"/>
          <w:szCs w:val="20"/>
        </w:rPr>
      </w:pPr>
      <w:r w:rsidRPr="00BA558E">
        <w:rPr>
          <w:b/>
          <w:bCs/>
          <w:sz w:val="20"/>
          <w:szCs w:val="20"/>
        </w:rPr>
        <w:t xml:space="preserve">CMS updates ratings </w:t>
      </w:r>
      <w:r w:rsidRPr="004B6A54">
        <w:rPr>
          <w:b/>
          <w:bCs/>
          <w:sz w:val="20"/>
          <w:szCs w:val="20"/>
        </w:rPr>
        <w:t>regularly</w:t>
      </w:r>
      <w:r>
        <w:rPr>
          <w:b/>
          <w:bCs/>
          <w:sz w:val="20"/>
          <w:szCs w:val="20"/>
        </w:rPr>
        <w:t>. For</w:t>
      </w:r>
      <w:r w:rsidRPr="004B6A54">
        <w:rPr>
          <w:b/>
          <w:bCs/>
          <w:sz w:val="20"/>
          <w:szCs w:val="20"/>
        </w:rPr>
        <w:t xml:space="preserve"> the latest ratings check: </w:t>
      </w:r>
      <w:hyperlink r:id="rId6" w:history="1">
        <w:r w:rsidRPr="004B6A54">
          <w:rPr>
            <w:rStyle w:val="Hyperlink"/>
            <w:rFonts w:eastAsiaTheme="majorEastAsia"/>
            <w:sz w:val="20"/>
            <w:szCs w:val="20"/>
          </w:rPr>
          <w:t>https://www.medicare.gov/care-compare/</w:t>
        </w:r>
      </w:hyperlink>
      <w:r w:rsidRPr="00BA558E">
        <w:rPr>
          <w:rStyle w:val="Hyperlink"/>
          <w:rFonts w:eastAsiaTheme="majorEastAsia"/>
          <w:b w:val="0"/>
          <w:bCs/>
          <w:sz w:val="20"/>
          <w:szCs w:val="20"/>
        </w:rPr>
        <w:t xml:space="preserve"> </w:t>
      </w:r>
    </w:p>
    <w:p w14:paraId="36397837" w14:textId="77777777" w:rsidR="003C025F" w:rsidRDefault="003C025F" w:rsidP="00BA558E">
      <w:pPr>
        <w:tabs>
          <w:tab w:val="left" w:pos="-600"/>
        </w:tabs>
        <w:ind w:right="180"/>
        <w:jc w:val="both"/>
        <w:rPr>
          <w:rStyle w:val="Hyperlink"/>
          <w:rFonts w:eastAsiaTheme="majorEastAsia"/>
          <w:b w:val="0"/>
          <w:bCs/>
          <w:sz w:val="20"/>
          <w:szCs w:val="20"/>
        </w:rPr>
      </w:pPr>
    </w:p>
    <w:p w14:paraId="61AD87BC" w14:textId="761A5496" w:rsidR="003C025F" w:rsidRPr="00176B15" w:rsidRDefault="003C025F" w:rsidP="003C025F">
      <w:pPr>
        <w:tabs>
          <w:tab w:val="left" w:pos="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176B15">
        <w:rPr>
          <w:b/>
          <w:bCs/>
          <w:sz w:val="20"/>
          <w:szCs w:val="20"/>
        </w:rPr>
        <w:t>**</w:t>
      </w:r>
      <w:r>
        <w:rPr>
          <w:b/>
          <w:bCs/>
          <w:sz w:val="20"/>
          <w:szCs w:val="20"/>
        </w:rPr>
        <w:t xml:space="preserve"> </w:t>
      </w:r>
      <w:r w:rsidRPr="00176B15">
        <w:rPr>
          <w:b/>
          <w:bCs/>
          <w:sz w:val="20"/>
          <w:szCs w:val="20"/>
        </w:rPr>
        <w:t xml:space="preserve">The required average NYS nursing staffing level (RN + LPN + Nurse Aide hours) is 3.5 hrs. per/resident per 24-hour day. According to a landmark 2001 federal study, this falls short of the 4.1 hours needed to assure residents receive adequate care. Current NYS law requires a minimum staffing level of 3.5 hours. </w:t>
      </w:r>
    </w:p>
    <w:p w14:paraId="5A4897FB" w14:textId="77777777" w:rsidR="003C025F" w:rsidRDefault="003C025F" w:rsidP="003C025F">
      <w:pPr>
        <w:ind w:right="-270"/>
        <w:jc w:val="center"/>
        <w:rPr>
          <w:b/>
        </w:rPr>
      </w:pPr>
    </w:p>
    <w:p w14:paraId="1D08078B" w14:textId="77777777" w:rsidR="003C025F" w:rsidRDefault="003C025F" w:rsidP="003C025F">
      <w:pPr>
        <w:ind w:right="-270"/>
        <w:jc w:val="center"/>
        <w:rPr>
          <w:b/>
        </w:rPr>
      </w:pPr>
    </w:p>
    <w:p w14:paraId="65FEBCCB" w14:textId="77777777" w:rsidR="003C025F" w:rsidRDefault="003C025F" w:rsidP="003C025F">
      <w:pPr>
        <w:ind w:right="-270"/>
        <w:jc w:val="center"/>
        <w:rPr>
          <w:b/>
        </w:rPr>
      </w:pPr>
    </w:p>
    <w:p w14:paraId="15D0F692" w14:textId="58162E65" w:rsidR="00AB6F0B" w:rsidRPr="00784758" w:rsidRDefault="00BE5D36" w:rsidP="003C025F">
      <w:pPr>
        <w:ind w:right="-270"/>
        <w:jc w:val="center"/>
        <w:rPr>
          <w:b/>
        </w:rPr>
      </w:pPr>
      <w:r w:rsidRPr="00784758">
        <w:rPr>
          <w:b/>
        </w:rPr>
        <w:t>Description and Usage of the Federal CMS (Centers for Medicare &amp; Medicaid Services)</w:t>
      </w:r>
    </w:p>
    <w:p w14:paraId="6F707F99" w14:textId="49DBF19D" w:rsidR="00AB6F0B" w:rsidRPr="00784758" w:rsidRDefault="00BE5D36" w:rsidP="00AB6F0B">
      <w:pPr>
        <w:ind w:right="-270"/>
        <w:jc w:val="center"/>
        <w:rPr>
          <w:b/>
        </w:rPr>
      </w:pPr>
      <w:r w:rsidRPr="00784758">
        <w:rPr>
          <w:b/>
        </w:rPr>
        <w:t>Star Ratings Table of Nursing Homes in</w:t>
      </w:r>
      <w:r w:rsidR="00AB6F0B" w:rsidRPr="00784758">
        <w:rPr>
          <w:b/>
        </w:rPr>
        <w:t>:</w:t>
      </w:r>
    </w:p>
    <w:p w14:paraId="4AE91D02" w14:textId="77777777" w:rsidR="004969BD" w:rsidRPr="00784758" w:rsidRDefault="00BE5D36" w:rsidP="00AB6F0B">
      <w:pPr>
        <w:ind w:right="-270"/>
        <w:jc w:val="center"/>
        <w:rPr>
          <w:b/>
        </w:rPr>
      </w:pPr>
      <w:r w:rsidRPr="00784758">
        <w:rPr>
          <w:b/>
        </w:rPr>
        <w:t xml:space="preserve"> </w:t>
      </w:r>
    </w:p>
    <w:p w14:paraId="51F9E032" w14:textId="2F7F7A1B" w:rsidR="00AB6F0B" w:rsidRPr="00784758" w:rsidRDefault="00AB6F0B" w:rsidP="00AB6F0B">
      <w:pPr>
        <w:ind w:right="-270"/>
        <w:jc w:val="center"/>
        <w:rPr>
          <w:b/>
        </w:rPr>
      </w:pPr>
      <w:r w:rsidRPr="00784758">
        <w:rPr>
          <w:b/>
        </w:rPr>
        <w:t xml:space="preserve">Rochester &amp; Monroe County, NY - MAY 19, </w:t>
      </w:r>
      <w:proofErr w:type="gramStart"/>
      <w:r w:rsidRPr="00784758">
        <w:rPr>
          <w:b/>
        </w:rPr>
        <w:t>2025</w:t>
      </w:r>
      <w:proofErr w:type="gramEnd"/>
      <w:r w:rsidRPr="00784758">
        <w:rPr>
          <w:b/>
        </w:rPr>
        <w:t xml:space="preserve"> Update</w:t>
      </w:r>
    </w:p>
    <w:p w14:paraId="5A85D4CF" w14:textId="7862DE67" w:rsidR="00BE5D36" w:rsidRPr="00BE41C1" w:rsidRDefault="00BE5D36" w:rsidP="00CE30FF">
      <w:pPr>
        <w:rPr>
          <w:color w:val="auto"/>
          <w:u w:val="single"/>
        </w:rPr>
      </w:pPr>
    </w:p>
    <w:p w14:paraId="5B41FE9C" w14:textId="322DDD1B" w:rsidR="00BE5D36" w:rsidRPr="00F03B3D" w:rsidRDefault="00BE5D36" w:rsidP="008F2233">
      <w:pPr>
        <w:contextualSpacing/>
        <w:jc w:val="both"/>
        <w:rPr>
          <w:i/>
          <w:color w:val="auto"/>
          <w:sz w:val="22"/>
          <w:szCs w:val="22"/>
        </w:rPr>
      </w:pPr>
      <w:r w:rsidRPr="00F03B3D">
        <w:rPr>
          <w:color w:val="auto"/>
          <w:sz w:val="22"/>
          <w:szCs w:val="22"/>
        </w:rPr>
        <w:t xml:space="preserve">The Elder Justice Committee of Metro Justice’s comparison of nursing home’s table on the other side of this page is a compilation of the </w:t>
      </w:r>
      <w:r w:rsidR="009079E1" w:rsidRPr="00F03B3D">
        <w:rPr>
          <w:color w:val="auto"/>
          <w:sz w:val="22"/>
          <w:szCs w:val="22"/>
        </w:rPr>
        <w:t>May 19, 2025</w:t>
      </w:r>
      <w:r w:rsidRPr="00F03B3D">
        <w:rPr>
          <w:color w:val="auto"/>
          <w:sz w:val="22"/>
          <w:szCs w:val="22"/>
        </w:rPr>
        <w:t xml:space="preserve"> U.S. Federal Government Centers for Medicare &amp; Medicaid Services (CMS) 1-5  Star Ratings</w:t>
      </w:r>
      <w:r w:rsidRPr="00F03B3D">
        <w:rPr>
          <w:color w:val="auto"/>
          <w:sz w:val="22"/>
          <w:szCs w:val="22"/>
          <w:vertAlign w:val="superscript"/>
        </w:rPr>
        <w:t>*</w:t>
      </w:r>
      <w:r w:rsidRPr="00F03B3D">
        <w:rPr>
          <w:color w:val="auto"/>
          <w:sz w:val="22"/>
          <w:szCs w:val="22"/>
        </w:rPr>
        <w:t xml:space="preserve"> obtained from: </w:t>
      </w:r>
      <w:hyperlink r:id="rId7" w:history="1">
        <w:r w:rsidRPr="00F03B3D">
          <w:rPr>
            <w:rStyle w:val="Hyperlink"/>
            <w:rFonts w:eastAsiaTheme="majorEastAsia"/>
            <w:sz w:val="22"/>
            <w:szCs w:val="22"/>
          </w:rPr>
          <w:t>https://www.medicare.gov/care-compare/</w:t>
        </w:r>
      </w:hyperlink>
      <w:r w:rsidRPr="00F03B3D">
        <w:rPr>
          <w:color w:val="auto"/>
          <w:sz w:val="22"/>
          <w:szCs w:val="22"/>
        </w:rPr>
        <w:t xml:space="preserve">  The table lists all 33 Medicaid/Medicare Certified nursing homes located in Monroe County, New York.  CMS’ website lists nursing homes in descending “Overall Rating” order from 5-Star (“Much Above Average”) down to 1-Star (“Much Below Average”). It also lists the three component ratings (Health Inspections, Staffing, and Quality Measures) which comprise CMS’ Overall Rating for each nursing home. CMS </w:t>
      </w:r>
      <w:r w:rsidRPr="00F03B3D">
        <w:rPr>
          <w:i/>
          <w:iCs/>
          <w:color w:val="auto"/>
          <w:sz w:val="22"/>
          <w:szCs w:val="22"/>
        </w:rPr>
        <w:t>Five-Star Quality Rating System: Technical Users’ Guide</w:t>
      </w:r>
      <w:r w:rsidRPr="00F03B3D">
        <w:rPr>
          <w:color w:val="auto"/>
          <w:sz w:val="22"/>
          <w:szCs w:val="22"/>
        </w:rPr>
        <w:t xml:space="preserve"> states “</w:t>
      </w:r>
      <w:r w:rsidRPr="00F03B3D">
        <w:rPr>
          <w:rStyle w:val="markedcontent"/>
          <w:rFonts w:eastAsiaTheme="majorEastAsia"/>
          <w:sz w:val="22"/>
          <w:szCs w:val="22"/>
        </w:rPr>
        <w:t>There is considerable evidence of a relationship between nursing home staffing levels and resident</w:t>
      </w:r>
      <w:r w:rsidRPr="00F03B3D">
        <w:rPr>
          <w:sz w:val="22"/>
          <w:szCs w:val="22"/>
        </w:rPr>
        <w:t xml:space="preserve"> </w:t>
      </w:r>
      <w:r w:rsidRPr="00F03B3D">
        <w:rPr>
          <w:rStyle w:val="markedcontent"/>
          <w:rFonts w:eastAsiaTheme="majorEastAsia"/>
          <w:sz w:val="22"/>
          <w:szCs w:val="22"/>
        </w:rPr>
        <w:t>outcomes.</w:t>
      </w:r>
      <w:r w:rsidRPr="00F03B3D">
        <w:rPr>
          <w:color w:val="auto"/>
          <w:sz w:val="22"/>
          <w:szCs w:val="22"/>
        </w:rPr>
        <w:t xml:space="preserve"> The </w:t>
      </w:r>
      <w:r w:rsidRPr="00F03B3D">
        <w:rPr>
          <w:rStyle w:val="markedcontent"/>
          <w:rFonts w:eastAsiaTheme="majorEastAsia"/>
          <w:sz w:val="22"/>
          <w:szCs w:val="22"/>
        </w:rPr>
        <w:t>CMS Staffing Study, among other research, found a clear association between nurse</w:t>
      </w:r>
      <w:r w:rsidRPr="00F03B3D">
        <w:rPr>
          <w:sz w:val="22"/>
          <w:szCs w:val="22"/>
        </w:rPr>
        <w:t xml:space="preserve"> </w:t>
      </w:r>
      <w:r w:rsidRPr="00F03B3D">
        <w:rPr>
          <w:rStyle w:val="markedcontent"/>
          <w:rFonts w:eastAsiaTheme="majorEastAsia"/>
          <w:sz w:val="22"/>
          <w:szCs w:val="22"/>
        </w:rPr>
        <w:t xml:space="preserve">staffing ratios and nursing home quality of </w:t>
      </w:r>
      <w:r w:rsidR="00AA47E5" w:rsidRPr="00F03B3D">
        <w:rPr>
          <w:rStyle w:val="markedcontent"/>
          <w:rFonts w:eastAsiaTheme="majorEastAsia"/>
          <w:sz w:val="22"/>
          <w:szCs w:val="22"/>
        </w:rPr>
        <w:t>care.</w:t>
      </w:r>
      <w:r w:rsidRPr="00F03B3D">
        <w:rPr>
          <w:color w:val="auto"/>
          <w:sz w:val="22"/>
          <w:szCs w:val="22"/>
        </w:rPr>
        <w:t xml:space="preserve"> </w:t>
      </w:r>
      <w:r w:rsidRPr="00F03B3D">
        <w:rPr>
          <w:sz w:val="22"/>
          <w:szCs w:val="22"/>
        </w:rPr>
        <w:t xml:space="preserve">In general, nursing staffing levels and ratings are higher in nursing homes with higher Overall Ratings, as you can observe in the table’s </w:t>
      </w:r>
      <w:r w:rsidR="00D87039" w:rsidRPr="00F03B3D">
        <w:rPr>
          <w:sz w:val="22"/>
          <w:szCs w:val="22"/>
        </w:rPr>
        <w:t xml:space="preserve">Staffing </w:t>
      </w:r>
      <w:r w:rsidRPr="00F03B3D">
        <w:rPr>
          <w:sz w:val="22"/>
          <w:szCs w:val="22"/>
        </w:rPr>
        <w:t xml:space="preserve">Rating </w:t>
      </w:r>
      <w:r w:rsidR="0080045A" w:rsidRPr="00F03B3D">
        <w:rPr>
          <w:sz w:val="22"/>
          <w:szCs w:val="22"/>
        </w:rPr>
        <w:t xml:space="preserve">Column. </w:t>
      </w:r>
    </w:p>
    <w:p w14:paraId="0DD198B7" w14:textId="77777777" w:rsidR="00BE5D36" w:rsidRPr="00F03B3D" w:rsidRDefault="00BE5D36" w:rsidP="008F2233">
      <w:pPr>
        <w:tabs>
          <w:tab w:val="left" w:pos="480"/>
        </w:tabs>
        <w:jc w:val="both"/>
        <w:rPr>
          <w:color w:val="auto"/>
          <w:sz w:val="22"/>
          <w:szCs w:val="22"/>
        </w:rPr>
      </w:pPr>
      <w:r w:rsidRPr="00F03B3D">
        <w:rPr>
          <w:sz w:val="22"/>
          <w:szCs w:val="22"/>
        </w:rPr>
        <w:t xml:space="preserve"> </w:t>
      </w:r>
    </w:p>
    <w:p w14:paraId="3CDC697D" w14:textId="48FC5A76" w:rsidR="00BE5D36" w:rsidRPr="00F03B3D" w:rsidRDefault="00BE5D36" w:rsidP="00A5657E">
      <w:pPr>
        <w:pStyle w:val="p1"/>
        <w:jc w:val="both"/>
        <w:rPr>
          <w:rFonts w:ascii="Arial" w:hAnsi="Arial" w:cs="Arial"/>
          <w:sz w:val="22"/>
          <w:szCs w:val="22"/>
        </w:rPr>
      </w:pPr>
      <w:r w:rsidRPr="00F03B3D">
        <w:rPr>
          <w:rFonts w:ascii="Arial" w:hAnsi="Arial" w:cs="Arial"/>
          <w:color w:val="auto"/>
          <w:sz w:val="22"/>
          <w:szCs w:val="22"/>
        </w:rPr>
        <w:t xml:space="preserve">The Elder Justice Committee encourages you to evaluate nursing homes within Monroe </w:t>
      </w:r>
      <w:r w:rsidR="0080045A" w:rsidRPr="00F03B3D">
        <w:rPr>
          <w:rFonts w:ascii="Arial" w:hAnsi="Arial" w:cs="Arial"/>
          <w:color w:val="auto"/>
          <w:sz w:val="22"/>
          <w:szCs w:val="22"/>
        </w:rPr>
        <w:t>C</w:t>
      </w:r>
      <w:r w:rsidRPr="00F03B3D">
        <w:rPr>
          <w:rFonts w:ascii="Arial" w:hAnsi="Arial" w:cs="Arial"/>
          <w:color w:val="auto"/>
          <w:sz w:val="22"/>
          <w:szCs w:val="22"/>
        </w:rPr>
        <w:t>ounty by considering the ratings shown in the table, as well as other factors.</w:t>
      </w:r>
      <w:r w:rsidRPr="00F03B3D">
        <w:rPr>
          <w:rFonts w:ascii="Arial" w:hAnsi="Arial" w:cs="Arial"/>
          <w:sz w:val="22"/>
          <w:szCs w:val="22"/>
        </w:rPr>
        <w:t xml:space="preserve"> </w:t>
      </w:r>
      <w:r w:rsidRPr="00F03B3D">
        <w:rPr>
          <w:rFonts w:ascii="Arial" w:hAnsi="Arial" w:cs="Arial"/>
          <w:color w:val="auto"/>
          <w:sz w:val="22"/>
          <w:szCs w:val="22"/>
        </w:rPr>
        <w:t>Although we consider these ratings to be a valuable consumer resource for nursing home selection, we also feel that conducting your own due diligence is</w:t>
      </w:r>
      <w:r w:rsidR="00A5657E" w:rsidRPr="00F03B3D">
        <w:rPr>
          <w:rFonts w:ascii="Arial" w:hAnsi="Arial" w:cs="Arial"/>
          <w:color w:val="auto"/>
          <w:sz w:val="22"/>
          <w:szCs w:val="22"/>
        </w:rPr>
        <w:t xml:space="preserve"> </w:t>
      </w:r>
      <w:r w:rsidRPr="00F03B3D">
        <w:rPr>
          <w:rFonts w:ascii="Arial" w:hAnsi="Arial" w:cs="Arial"/>
          <w:color w:val="auto"/>
          <w:sz w:val="22"/>
          <w:szCs w:val="22"/>
        </w:rPr>
        <w:t xml:space="preserve">essential. We strongly recommend </w:t>
      </w:r>
      <w:r w:rsidR="00A5657E" w:rsidRPr="00F03B3D">
        <w:rPr>
          <w:rFonts w:ascii="Arial" w:hAnsi="Arial" w:cs="Arial"/>
          <w:sz w:val="22"/>
          <w:szCs w:val="22"/>
        </w:rPr>
        <w:t xml:space="preserve">that in addition to use of information from CMS you visit nursing homes in person, including seeing residents’ living areas, speaking to residents and their families and friends before you </w:t>
      </w:r>
      <w:proofErr w:type="gramStart"/>
      <w:r w:rsidR="00A5657E" w:rsidRPr="00F03B3D">
        <w:rPr>
          <w:rFonts w:ascii="Arial" w:hAnsi="Arial" w:cs="Arial"/>
          <w:sz w:val="22"/>
          <w:szCs w:val="22"/>
        </w:rPr>
        <w:t>make a decision</w:t>
      </w:r>
      <w:proofErr w:type="gramEnd"/>
      <w:r w:rsidR="00A5657E" w:rsidRPr="00F03B3D">
        <w:rPr>
          <w:rFonts w:ascii="Arial" w:hAnsi="Arial" w:cs="Arial"/>
          <w:sz w:val="22"/>
          <w:szCs w:val="22"/>
        </w:rPr>
        <w:t xml:space="preserve">. EJC has a </w:t>
      </w:r>
      <w:r w:rsidR="00A5657E" w:rsidRPr="00F03B3D">
        <w:rPr>
          <w:rFonts w:ascii="Arial" w:hAnsi="Arial" w:cs="Arial"/>
          <w:i/>
          <w:iCs/>
          <w:sz w:val="22"/>
          <w:szCs w:val="22"/>
        </w:rPr>
        <w:t xml:space="preserve">Guide </w:t>
      </w:r>
      <w:proofErr w:type="gramStart"/>
      <w:r w:rsidR="00A5657E" w:rsidRPr="00F03B3D">
        <w:rPr>
          <w:rFonts w:ascii="Arial" w:hAnsi="Arial" w:cs="Arial"/>
          <w:i/>
          <w:iCs/>
          <w:sz w:val="22"/>
          <w:szCs w:val="22"/>
        </w:rPr>
        <w:t>To</w:t>
      </w:r>
      <w:proofErr w:type="gramEnd"/>
      <w:r w:rsidR="00A5657E" w:rsidRPr="00F03B3D">
        <w:rPr>
          <w:rFonts w:ascii="Arial" w:hAnsi="Arial" w:cs="Arial"/>
          <w:i/>
          <w:iCs/>
          <w:sz w:val="22"/>
          <w:szCs w:val="22"/>
        </w:rPr>
        <w:t xml:space="preserve"> Selecting </w:t>
      </w:r>
      <w:proofErr w:type="gramStart"/>
      <w:r w:rsidR="00A5657E" w:rsidRPr="00F03B3D">
        <w:rPr>
          <w:rFonts w:ascii="Arial" w:hAnsi="Arial" w:cs="Arial"/>
          <w:i/>
          <w:iCs/>
          <w:sz w:val="22"/>
          <w:szCs w:val="22"/>
        </w:rPr>
        <w:t>A</w:t>
      </w:r>
      <w:proofErr w:type="gramEnd"/>
      <w:r w:rsidR="00A5657E" w:rsidRPr="00F03B3D">
        <w:rPr>
          <w:rFonts w:ascii="Arial" w:hAnsi="Arial" w:cs="Arial"/>
          <w:i/>
          <w:iCs/>
          <w:sz w:val="22"/>
          <w:szCs w:val="22"/>
        </w:rPr>
        <w:t xml:space="preserve"> Nursing Home</w:t>
      </w:r>
      <w:r w:rsidR="00A5657E" w:rsidRPr="00F03B3D">
        <w:rPr>
          <w:rFonts w:ascii="Arial" w:hAnsi="Arial" w:cs="Arial"/>
          <w:sz w:val="22"/>
          <w:szCs w:val="22"/>
        </w:rPr>
        <w:t xml:space="preserve"> on our website at: </w:t>
      </w:r>
      <w:hyperlink r:id="rId8" w:history="1">
        <w:r w:rsidR="00A5657E" w:rsidRPr="00F03B3D">
          <w:rPr>
            <w:rStyle w:val="Hyperlink"/>
            <w:rFonts w:ascii="Arial" w:hAnsi="Arial" w:cs="Arial"/>
            <w:sz w:val="22"/>
            <w:szCs w:val="22"/>
          </w:rPr>
          <w:t>www.elderjusticecommittee.org</w:t>
        </w:r>
        <w:bookmarkStart w:id="5" w:name="_Hlk105182251"/>
      </w:hyperlink>
    </w:p>
    <w:bookmarkEnd w:id="5"/>
    <w:p w14:paraId="6EC7C569" w14:textId="6FCD4DC8" w:rsidR="00BE5D36" w:rsidRPr="00F03B3D" w:rsidRDefault="00BE5D36" w:rsidP="008F2233">
      <w:pPr>
        <w:jc w:val="both"/>
        <w:rPr>
          <w:color w:val="000000" w:themeColor="text1"/>
          <w:sz w:val="22"/>
          <w:szCs w:val="22"/>
        </w:rPr>
      </w:pPr>
      <w:r w:rsidRPr="00F03B3D">
        <w:rPr>
          <w:color w:val="000000" w:themeColor="text1"/>
          <w:sz w:val="22"/>
          <w:szCs w:val="22"/>
        </w:rPr>
        <w:tab/>
      </w:r>
      <w:r w:rsidRPr="00F03B3D">
        <w:rPr>
          <w:sz w:val="22"/>
          <w:szCs w:val="22"/>
        </w:rPr>
        <w:tab/>
      </w:r>
    </w:p>
    <w:p w14:paraId="00ED47A8" w14:textId="77777777" w:rsidR="00BE5D36" w:rsidRPr="00F03B3D" w:rsidRDefault="00BE5D36" w:rsidP="008F2233">
      <w:pPr>
        <w:tabs>
          <w:tab w:val="left" w:pos="360"/>
          <w:tab w:val="left" w:pos="960"/>
        </w:tabs>
        <w:jc w:val="both"/>
        <w:rPr>
          <w:color w:val="auto"/>
          <w:sz w:val="22"/>
          <w:szCs w:val="22"/>
        </w:rPr>
      </w:pPr>
      <w:r w:rsidRPr="00F03B3D">
        <w:rPr>
          <w:color w:val="auto"/>
          <w:sz w:val="22"/>
          <w:szCs w:val="22"/>
        </w:rPr>
        <w:t>Please use and share this information with anyone seeking guidance in investigating, comparing, and selecting Monroe County nursing homes.</w:t>
      </w:r>
    </w:p>
    <w:p w14:paraId="29E2AAE9" w14:textId="77777777" w:rsidR="00BE5D36" w:rsidRPr="00F03B3D" w:rsidRDefault="00BE5D36" w:rsidP="008F2233">
      <w:pPr>
        <w:tabs>
          <w:tab w:val="left" w:pos="360"/>
          <w:tab w:val="left" w:pos="960"/>
        </w:tabs>
        <w:jc w:val="both"/>
        <w:rPr>
          <w:color w:val="auto"/>
          <w:sz w:val="22"/>
          <w:szCs w:val="22"/>
        </w:rPr>
      </w:pPr>
    </w:p>
    <w:p w14:paraId="77C36CEE" w14:textId="77777777" w:rsidR="00BE5D36" w:rsidRPr="00F03B3D" w:rsidRDefault="00BE5D36" w:rsidP="008F2233">
      <w:pPr>
        <w:jc w:val="both"/>
        <w:rPr>
          <w:color w:val="auto"/>
          <w:sz w:val="22"/>
          <w:szCs w:val="22"/>
        </w:rPr>
      </w:pPr>
      <w:r w:rsidRPr="00F03B3D">
        <w:rPr>
          <w:color w:val="auto"/>
          <w:sz w:val="22"/>
          <w:szCs w:val="22"/>
        </w:rPr>
        <w:t>Sincerely,</w:t>
      </w:r>
    </w:p>
    <w:p w14:paraId="6A3A56E0" w14:textId="6999A32B" w:rsidR="00BE5D36" w:rsidRPr="00A5657E" w:rsidRDefault="00BE5D36" w:rsidP="00D808FE">
      <w:pPr>
        <w:rPr>
          <w:color w:val="auto"/>
          <w:sz w:val="22"/>
          <w:szCs w:val="22"/>
        </w:rPr>
      </w:pPr>
      <w:r w:rsidRPr="00F03B3D">
        <w:rPr>
          <w:color w:val="auto"/>
          <w:sz w:val="22"/>
          <w:szCs w:val="22"/>
        </w:rPr>
        <w:t>Elder Justice Committee of Metro Justice</w:t>
      </w:r>
      <w:r w:rsidR="00D808FE">
        <w:rPr>
          <w:noProof/>
        </w:rPr>
        <w:drawing>
          <wp:inline distT="0" distB="0" distL="0" distR="0" wp14:anchorId="4615A4A1" wp14:editId="1A3ADF1E">
            <wp:extent cx="6858000" cy="3601565"/>
            <wp:effectExtent l="0" t="0" r="0" b="5715"/>
            <wp:docPr id="1130311577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11577" name="Picture 1" descr="A close-up of a business car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FDB9A" w14:textId="77777777" w:rsidR="004969BD" w:rsidRDefault="004969BD" w:rsidP="004969BD">
      <w:pPr>
        <w:jc w:val="both"/>
        <w:rPr>
          <w:color w:val="auto"/>
          <w:sz w:val="22"/>
          <w:szCs w:val="22"/>
        </w:rPr>
      </w:pPr>
    </w:p>
    <w:p w14:paraId="5EA4D6EB" w14:textId="0C921696" w:rsidR="00602216" w:rsidRDefault="00602216" w:rsidP="00DF39FF"/>
    <w:sectPr w:rsidR="00602216" w:rsidSect="003C025F">
      <w:pgSz w:w="12240" w:h="15840" w:code="1"/>
      <w:pgMar w:top="720" w:right="720" w:bottom="61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5099C"/>
    <w:multiLevelType w:val="hybridMultilevel"/>
    <w:tmpl w:val="253AAB70"/>
    <w:lvl w:ilvl="0" w:tplc="3E2EBB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71297"/>
    <w:multiLevelType w:val="hybridMultilevel"/>
    <w:tmpl w:val="C88AFD36"/>
    <w:lvl w:ilvl="0" w:tplc="F402AC92">
      <w:numFmt w:val="bullet"/>
      <w:lvlText w:val=""/>
      <w:lvlJc w:val="left"/>
      <w:pPr>
        <w:ind w:left="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31480707">
    <w:abstractNumId w:val="0"/>
  </w:num>
  <w:num w:numId="2" w16cid:durableId="47194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36"/>
    <w:rsid w:val="0001307A"/>
    <w:rsid w:val="00024720"/>
    <w:rsid w:val="00025161"/>
    <w:rsid w:val="000332E0"/>
    <w:rsid w:val="00051E9F"/>
    <w:rsid w:val="000634FC"/>
    <w:rsid w:val="000846A7"/>
    <w:rsid w:val="00084E24"/>
    <w:rsid w:val="00094AB0"/>
    <w:rsid w:val="000A5043"/>
    <w:rsid w:val="000B3380"/>
    <w:rsid w:val="000E77E5"/>
    <w:rsid w:val="000F6F54"/>
    <w:rsid w:val="001074AB"/>
    <w:rsid w:val="00127A53"/>
    <w:rsid w:val="00130F0D"/>
    <w:rsid w:val="00136254"/>
    <w:rsid w:val="00163A66"/>
    <w:rsid w:val="001958D4"/>
    <w:rsid w:val="001979F6"/>
    <w:rsid w:val="001A11B6"/>
    <w:rsid w:val="001B37A0"/>
    <w:rsid w:val="001B6F54"/>
    <w:rsid w:val="001D0414"/>
    <w:rsid w:val="001E40BC"/>
    <w:rsid w:val="001F0F64"/>
    <w:rsid w:val="001F2747"/>
    <w:rsid w:val="001F7232"/>
    <w:rsid w:val="00210A28"/>
    <w:rsid w:val="00214696"/>
    <w:rsid w:val="00215855"/>
    <w:rsid w:val="002402AD"/>
    <w:rsid w:val="00245BA0"/>
    <w:rsid w:val="00267C6C"/>
    <w:rsid w:val="00271533"/>
    <w:rsid w:val="00272D36"/>
    <w:rsid w:val="00273161"/>
    <w:rsid w:val="00282B10"/>
    <w:rsid w:val="00285F7A"/>
    <w:rsid w:val="002904FF"/>
    <w:rsid w:val="00292004"/>
    <w:rsid w:val="002A4D72"/>
    <w:rsid w:val="002A67BC"/>
    <w:rsid w:val="002C2B1E"/>
    <w:rsid w:val="002C4C2D"/>
    <w:rsid w:val="002F00A6"/>
    <w:rsid w:val="002F781A"/>
    <w:rsid w:val="00306D08"/>
    <w:rsid w:val="00313635"/>
    <w:rsid w:val="00313A06"/>
    <w:rsid w:val="00326AC5"/>
    <w:rsid w:val="003518E6"/>
    <w:rsid w:val="00352509"/>
    <w:rsid w:val="003642A7"/>
    <w:rsid w:val="003648DA"/>
    <w:rsid w:val="00390A7B"/>
    <w:rsid w:val="003933CE"/>
    <w:rsid w:val="003A4466"/>
    <w:rsid w:val="003A496B"/>
    <w:rsid w:val="003C025F"/>
    <w:rsid w:val="003E03D2"/>
    <w:rsid w:val="003F52B4"/>
    <w:rsid w:val="003F5C38"/>
    <w:rsid w:val="003F66E3"/>
    <w:rsid w:val="003F7BFB"/>
    <w:rsid w:val="0040325F"/>
    <w:rsid w:val="00417A02"/>
    <w:rsid w:val="00417F91"/>
    <w:rsid w:val="00424310"/>
    <w:rsid w:val="00444C00"/>
    <w:rsid w:val="00460096"/>
    <w:rsid w:val="0046074A"/>
    <w:rsid w:val="00481D76"/>
    <w:rsid w:val="004859BD"/>
    <w:rsid w:val="004969BD"/>
    <w:rsid w:val="004D480A"/>
    <w:rsid w:val="004D6F45"/>
    <w:rsid w:val="004E7595"/>
    <w:rsid w:val="00506608"/>
    <w:rsid w:val="0051103E"/>
    <w:rsid w:val="00517E27"/>
    <w:rsid w:val="0053594C"/>
    <w:rsid w:val="00554BEF"/>
    <w:rsid w:val="0055648A"/>
    <w:rsid w:val="005661ED"/>
    <w:rsid w:val="00577561"/>
    <w:rsid w:val="005838AF"/>
    <w:rsid w:val="00586ED7"/>
    <w:rsid w:val="00597878"/>
    <w:rsid w:val="005C1C18"/>
    <w:rsid w:val="005E33AE"/>
    <w:rsid w:val="00602216"/>
    <w:rsid w:val="00603A96"/>
    <w:rsid w:val="00615A20"/>
    <w:rsid w:val="00622884"/>
    <w:rsid w:val="00622A05"/>
    <w:rsid w:val="0064113B"/>
    <w:rsid w:val="00650E2C"/>
    <w:rsid w:val="0066044E"/>
    <w:rsid w:val="00690C11"/>
    <w:rsid w:val="00696BEB"/>
    <w:rsid w:val="006A56E3"/>
    <w:rsid w:val="006A7480"/>
    <w:rsid w:val="006D3719"/>
    <w:rsid w:val="006D5CBF"/>
    <w:rsid w:val="006D71AE"/>
    <w:rsid w:val="006E26D5"/>
    <w:rsid w:val="006F0A4F"/>
    <w:rsid w:val="00705771"/>
    <w:rsid w:val="00732598"/>
    <w:rsid w:val="0073558F"/>
    <w:rsid w:val="00742549"/>
    <w:rsid w:val="00742C72"/>
    <w:rsid w:val="00753B4C"/>
    <w:rsid w:val="00754DD4"/>
    <w:rsid w:val="00784758"/>
    <w:rsid w:val="00797FC5"/>
    <w:rsid w:val="007A1B0F"/>
    <w:rsid w:val="007B0B9F"/>
    <w:rsid w:val="007B6261"/>
    <w:rsid w:val="007F2846"/>
    <w:rsid w:val="0080045A"/>
    <w:rsid w:val="00801C27"/>
    <w:rsid w:val="00810B7D"/>
    <w:rsid w:val="0082593D"/>
    <w:rsid w:val="00826A1B"/>
    <w:rsid w:val="0084442E"/>
    <w:rsid w:val="008736C5"/>
    <w:rsid w:val="00876658"/>
    <w:rsid w:val="008A7095"/>
    <w:rsid w:val="008F2233"/>
    <w:rsid w:val="008F53D8"/>
    <w:rsid w:val="009013F2"/>
    <w:rsid w:val="009079E1"/>
    <w:rsid w:val="00913384"/>
    <w:rsid w:val="00915841"/>
    <w:rsid w:val="0092057B"/>
    <w:rsid w:val="00924A9A"/>
    <w:rsid w:val="00932BCD"/>
    <w:rsid w:val="00944F0E"/>
    <w:rsid w:val="009473F5"/>
    <w:rsid w:val="009544F3"/>
    <w:rsid w:val="00955504"/>
    <w:rsid w:val="00973C59"/>
    <w:rsid w:val="00987FB1"/>
    <w:rsid w:val="009B7289"/>
    <w:rsid w:val="009F35E2"/>
    <w:rsid w:val="00A27468"/>
    <w:rsid w:val="00A3239D"/>
    <w:rsid w:val="00A43A50"/>
    <w:rsid w:val="00A460F7"/>
    <w:rsid w:val="00A51250"/>
    <w:rsid w:val="00A559D2"/>
    <w:rsid w:val="00A5657E"/>
    <w:rsid w:val="00A718C0"/>
    <w:rsid w:val="00A7603A"/>
    <w:rsid w:val="00A858B0"/>
    <w:rsid w:val="00A864C0"/>
    <w:rsid w:val="00A96115"/>
    <w:rsid w:val="00AA2F9D"/>
    <w:rsid w:val="00AA47E5"/>
    <w:rsid w:val="00AB4BD2"/>
    <w:rsid w:val="00AB6F0B"/>
    <w:rsid w:val="00AC24AF"/>
    <w:rsid w:val="00B06340"/>
    <w:rsid w:val="00B14589"/>
    <w:rsid w:val="00B237C5"/>
    <w:rsid w:val="00B30D2C"/>
    <w:rsid w:val="00B31E76"/>
    <w:rsid w:val="00B352ED"/>
    <w:rsid w:val="00B3669F"/>
    <w:rsid w:val="00B40C15"/>
    <w:rsid w:val="00B4409C"/>
    <w:rsid w:val="00B746AB"/>
    <w:rsid w:val="00B85A84"/>
    <w:rsid w:val="00B962DD"/>
    <w:rsid w:val="00BA558E"/>
    <w:rsid w:val="00BA5633"/>
    <w:rsid w:val="00BD6F5D"/>
    <w:rsid w:val="00BE41C1"/>
    <w:rsid w:val="00BE5D36"/>
    <w:rsid w:val="00BE74B8"/>
    <w:rsid w:val="00C0296F"/>
    <w:rsid w:val="00C03697"/>
    <w:rsid w:val="00C10057"/>
    <w:rsid w:val="00C11601"/>
    <w:rsid w:val="00C20019"/>
    <w:rsid w:val="00C24A4D"/>
    <w:rsid w:val="00C336CA"/>
    <w:rsid w:val="00C4274F"/>
    <w:rsid w:val="00C45145"/>
    <w:rsid w:val="00CB0B04"/>
    <w:rsid w:val="00CC6431"/>
    <w:rsid w:val="00CE30FF"/>
    <w:rsid w:val="00CF20BF"/>
    <w:rsid w:val="00CF26E0"/>
    <w:rsid w:val="00CF60DF"/>
    <w:rsid w:val="00D12A91"/>
    <w:rsid w:val="00D20420"/>
    <w:rsid w:val="00D2580B"/>
    <w:rsid w:val="00D44337"/>
    <w:rsid w:val="00D44BA6"/>
    <w:rsid w:val="00D521AD"/>
    <w:rsid w:val="00D62F2B"/>
    <w:rsid w:val="00D639F3"/>
    <w:rsid w:val="00D808FE"/>
    <w:rsid w:val="00D87039"/>
    <w:rsid w:val="00DB1A7F"/>
    <w:rsid w:val="00DB5C12"/>
    <w:rsid w:val="00DF39FF"/>
    <w:rsid w:val="00DF678C"/>
    <w:rsid w:val="00E117B2"/>
    <w:rsid w:val="00E25750"/>
    <w:rsid w:val="00E26556"/>
    <w:rsid w:val="00E330D9"/>
    <w:rsid w:val="00E33D2E"/>
    <w:rsid w:val="00E37242"/>
    <w:rsid w:val="00E5186F"/>
    <w:rsid w:val="00E55109"/>
    <w:rsid w:val="00E662F6"/>
    <w:rsid w:val="00E92276"/>
    <w:rsid w:val="00E92F34"/>
    <w:rsid w:val="00EA2C4C"/>
    <w:rsid w:val="00EA3500"/>
    <w:rsid w:val="00EB0F87"/>
    <w:rsid w:val="00EB1D21"/>
    <w:rsid w:val="00ED5C51"/>
    <w:rsid w:val="00EE1F3F"/>
    <w:rsid w:val="00EF0AF8"/>
    <w:rsid w:val="00F03B3D"/>
    <w:rsid w:val="00F06085"/>
    <w:rsid w:val="00F26862"/>
    <w:rsid w:val="00F2691D"/>
    <w:rsid w:val="00F30673"/>
    <w:rsid w:val="00F31C32"/>
    <w:rsid w:val="00F3310C"/>
    <w:rsid w:val="00F41635"/>
    <w:rsid w:val="00F62010"/>
    <w:rsid w:val="00F7094A"/>
    <w:rsid w:val="00F717CF"/>
    <w:rsid w:val="00F90B22"/>
    <w:rsid w:val="00F93BA3"/>
    <w:rsid w:val="00FA6212"/>
    <w:rsid w:val="00FC303F"/>
    <w:rsid w:val="00FC5590"/>
    <w:rsid w:val="00FC7DE7"/>
    <w:rsid w:val="00FD20B0"/>
    <w:rsid w:val="00FD6A67"/>
    <w:rsid w:val="00FE3577"/>
    <w:rsid w:val="00FE4622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78992"/>
  <w15:chartTrackingRefBased/>
  <w15:docId w15:val="{3C413401-485B-49AB-AD64-1263C71E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D36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D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D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D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D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D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D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D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D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D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D3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D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D3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E5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D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E5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D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E5D36"/>
    <w:rPr>
      <w:b/>
      <w:bCs w:val="0"/>
      <w:color w:val="auto"/>
      <w:u w:val="single"/>
    </w:rPr>
  </w:style>
  <w:style w:type="character" w:customStyle="1" w:styleId="markedcontent">
    <w:name w:val="markedcontent"/>
    <w:basedOn w:val="DefaultParagraphFont"/>
    <w:rsid w:val="00BE5D36"/>
  </w:style>
  <w:style w:type="character" w:styleId="FollowedHyperlink">
    <w:name w:val="FollowedHyperlink"/>
    <w:basedOn w:val="DefaultParagraphFont"/>
    <w:uiPriority w:val="99"/>
    <w:semiHidden/>
    <w:unhideWhenUsed/>
    <w:rsid w:val="00A559D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115"/>
    <w:rPr>
      <w:color w:val="605E5C"/>
      <w:shd w:val="clear" w:color="auto" w:fill="E1DFDD"/>
    </w:rPr>
  </w:style>
  <w:style w:type="paragraph" w:customStyle="1" w:styleId="p1">
    <w:name w:val="p1"/>
    <w:basedOn w:val="Normal"/>
    <w:rsid w:val="00A5657E"/>
    <w:rPr>
      <w:rFonts w:ascii="Helvetica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derjusticecommittee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edicare.gov/care-compar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dicare.gov/care-compar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EFDA-0140-4500-9F24-63E118D4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Traub</dc:creator>
  <cp:keywords/>
  <dc:description/>
  <cp:lastModifiedBy>Jeffrey Nidetz</cp:lastModifiedBy>
  <cp:revision>2</cp:revision>
  <cp:lastPrinted>2025-06-15T22:00:00Z</cp:lastPrinted>
  <dcterms:created xsi:type="dcterms:W3CDTF">2025-06-16T06:32:00Z</dcterms:created>
  <dcterms:modified xsi:type="dcterms:W3CDTF">2025-06-16T06:32:00Z</dcterms:modified>
</cp:coreProperties>
</file>